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9D9" w:rsidRPr="00AB19D9" w:rsidRDefault="00AB19D9" w:rsidP="00AB19D9">
      <w:pPr>
        <w:jc w:val="left"/>
        <w:rPr>
          <w:rFonts w:ascii="仿宋_GB2312" w:eastAsia="仿宋_GB2312" w:hAnsi="黑体"/>
          <w:bCs/>
          <w:sz w:val="30"/>
          <w:szCs w:val="30"/>
        </w:rPr>
      </w:pPr>
      <w:r w:rsidRPr="00AB19D9">
        <w:rPr>
          <w:rFonts w:ascii="仿宋_GB2312" w:eastAsia="仿宋_GB2312" w:hAnsi="黑体" w:hint="eastAsia"/>
          <w:bCs/>
          <w:sz w:val="30"/>
          <w:szCs w:val="30"/>
        </w:rPr>
        <w:t>附件</w:t>
      </w:r>
    </w:p>
    <w:p w:rsidR="00AB19D9" w:rsidRPr="00977381" w:rsidRDefault="00AB19D9" w:rsidP="00AB19D9">
      <w:pPr>
        <w:ind w:firstLine="720"/>
        <w:jc w:val="left"/>
        <w:rPr>
          <w:rFonts w:ascii="黑体" w:eastAsia="黑体" w:hAnsi="黑体"/>
          <w:bCs/>
          <w:sz w:val="36"/>
          <w:szCs w:val="36"/>
        </w:rPr>
      </w:pPr>
    </w:p>
    <w:p w:rsidR="00455949" w:rsidRDefault="00AB19D9" w:rsidP="00455949">
      <w:pPr>
        <w:jc w:val="center"/>
        <w:rPr>
          <w:rFonts w:ascii="黑体" w:eastAsia="黑体" w:hAnsi="黑体" w:hint="eastAsia"/>
          <w:b/>
          <w:bCs/>
          <w:sz w:val="36"/>
          <w:szCs w:val="36"/>
        </w:rPr>
      </w:pPr>
      <w:r>
        <w:rPr>
          <w:rFonts w:ascii="黑体" w:eastAsia="黑体" w:hAnsi="黑体" w:hint="eastAsia"/>
          <w:b/>
          <w:bCs/>
          <w:sz w:val="36"/>
          <w:szCs w:val="36"/>
        </w:rPr>
        <w:t>上海证券交易所投资者风险揭示书必备条款指南</w:t>
      </w:r>
    </w:p>
    <w:p w:rsidR="00AB19D9" w:rsidRPr="00AB19D9" w:rsidRDefault="00AB19D9" w:rsidP="00455949">
      <w:pPr>
        <w:jc w:val="center"/>
        <w:rPr>
          <w:rFonts w:ascii="黑体" w:eastAsia="黑体" w:hAnsi="黑体"/>
          <w:b/>
          <w:bCs/>
          <w:sz w:val="36"/>
          <w:szCs w:val="36"/>
        </w:rPr>
      </w:pPr>
      <w:r>
        <w:rPr>
          <w:rFonts w:ascii="黑体" w:eastAsia="黑体" w:hAnsi="黑体" w:hint="eastAsia"/>
          <w:b/>
          <w:bCs/>
          <w:sz w:val="36"/>
          <w:szCs w:val="36"/>
        </w:rPr>
        <w:t>第4号——公开募集基础设施证券投资基金</w:t>
      </w:r>
      <w:r w:rsidRPr="00AB19D9">
        <w:rPr>
          <w:rFonts w:ascii="黑体" w:eastAsia="黑体" w:hAnsi="黑体" w:hint="eastAsia"/>
          <w:b/>
          <w:bCs/>
          <w:sz w:val="36"/>
          <w:szCs w:val="36"/>
        </w:rPr>
        <w:t>（REITs）</w:t>
      </w:r>
    </w:p>
    <w:p w:rsidR="00AB19D9" w:rsidRDefault="00AB19D9" w:rsidP="00AB19D9">
      <w:pPr>
        <w:ind w:firstLine="420"/>
        <w:jc w:val="center"/>
        <w:rPr>
          <w:rFonts w:ascii="黑体" w:eastAsia="黑体" w:hAnsi="黑体"/>
          <w:sz w:val="36"/>
          <w:szCs w:val="36"/>
        </w:rPr>
      </w:pPr>
    </w:p>
    <w:p w:rsidR="00AB19D9" w:rsidRDefault="00AB19D9" w:rsidP="00AB19D9">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为了使投资者充分了解上海证券交易所（以下简称上交所）公开募集基础设施证券投资基金</w:t>
      </w:r>
      <w:r w:rsidRPr="00BB4289">
        <w:rPr>
          <w:rFonts w:ascii="仿宋_GB2312" w:eastAsia="仿宋_GB2312" w:hAnsi="微软雅黑" w:hint="eastAsia"/>
          <w:color w:val="4D4D4D"/>
          <w:sz w:val="30"/>
          <w:szCs w:val="30"/>
        </w:rPr>
        <w:t>（REITs）</w:t>
      </w:r>
      <w:r>
        <w:rPr>
          <w:rFonts w:ascii="仿宋_GB2312" w:eastAsia="仿宋_GB2312" w:hint="eastAsia"/>
          <w:sz w:val="30"/>
          <w:szCs w:val="30"/>
        </w:rPr>
        <w:t>（以下简称基础设施基金）相关业务的风险，开展基础设施基金经纪业务的证券公司和基金管理人及</w:t>
      </w:r>
      <w:r>
        <w:rPr>
          <w:rFonts w:ascii="仿宋_GB2312" w:eastAsia="仿宋_GB2312" w:hAnsi="微软雅黑" w:hint="eastAsia"/>
          <w:color w:val="4D4D4D"/>
          <w:sz w:val="30"/>
          <w:szCs w:val="30"/>
        </w:rPr>
        <w:t>基金销售机构</w:t>
      </w:r>
      <w:r>
        <w:rPr>
          <w:rFonts w:ascii="仿宋_GB2312" w:eastAsia="仿宋_GB2312" w:hint="eastAsia"/>
          <w:sz w:val="30"/>
          <w:szCs w:val="30"/>
        </w:rPr>
        <w:t>应当制定《公开募集基础设施证券投资基金</w:t>
      </w:r>
      <w:r w:rsidRPr="00BB4289">
        <w:rPr>
          <w:rFonts w:ascii="仿宋_GB2312" w:eastAsia="仿宋_GB2312" w:hAnsi="微软雅黑" w:hint="eastAsia"/>
          <w:color w:val="4D4D4D"/>
          <w:sz w:val="30"/>
          <w:szCs w:val="30"/>
        </w:rPr>
        <w:t>（REITs）</w:t>
      </w:r>
      <w:r>
        <w:rPr>
          <w:rFonts w:ascii="仿宋_GB2312" w:eastAsia="仿宋_GB2312" w:hint="eastAsia"/>
          <w:sz w:val="30"/>
          <w:szCs w:val="30"/>
        </w:rPr>
        <w:t>交易风险揭示书》（以下简称《风险揭示书》），向参与首次认购或买入基础设施基金份额的普通投资者充分揭示风险。</w:t>
      </w:r>
    </w:p>
    <w:p w:rsidR="00AB19D9" w:rsidRDefault="00AB19D9" w:rsidP="00AB19D9">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color w:val="000000"/>
          <w:sz w:val="30"/>
          <w:szCs w:val="30"/>
        </w:rPr>
        <w:t>《风险揭示书》应当至少包括下列内容：</w:t>
      </w:r>
      <w:r>
        <w:rPr>
          <w:rFonts w:ascii="仿宋_GB2312" w:eastAsia="仿宋_GB2312" w:hint="eastAsia"/>
          <w:sz w:val="30"/>
          <w:szCs w:val="30"/>
        </w:rPr>
        <w:t>基础设施基金采用“公募基金+基础设施资产支持证券”的产品结构，主要特点如下：一是基础设施基金与投资股票或债券的公募基金具有不同的风险收益特征，80%以上基金资产投资于基础设施资产支持证券，并持有其全部份额，基金通过基础设施资产支持证券持有基础设施项目公司全部股权，穿透取得基础设施项目完全所有权或经营权利；二是基础设施基金以获取基础设施项目租金、收费等稳定现金流为主要目的，收益分配比例不低于合并后基金年度可供分配金额的90%；三是基础设施基金采取封闭式运作，不开放申购与赎回，在证券交易所上市，场外份额持有人需将基金份额转托管至场内才可卖出或申报预受要约。</w:t>
      </w:r>
    </w:p>
    <w:p w:rsidR="00AB19D9" w:rsidRDefault="00AB19D9" w:rsidP="00AB19D9">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一、基金价格波动风险。基础设施基金大部分资产投资于基</w:t>
      </w:r>
      <w:r>
        <w:rPr>
          <w:rFonts w:ascii="仿宋_GB2312" w:eastAsia="仿宋_GB2312" w:hint="eastAsia"/>
          <w:sz w:val="30"/>
          <w:szCs w:val="30"/>
        </w:rPr>
        <w:lastRenderedPageBreak/>
        <w:t>础设施项目，具有权益属性，受经济环境、运营管理等因素影响，基础设施项目市场价值及现金流情况可能发生变化，可能引起基础设施基金价格波动，甚至存在基础设施项目遭遇极端事件（如地震、台风等）发生较大损失而影响基金价格的风险。</w:t>
      </w:r>
    </w:p>
    <w:p w:rsidR="00AB19D9" w:rsidRDefault="00AB19D9" w:rsidP="00AB19D9">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二、基础设施项目运营风险。基础设施基金投资集中度高，收益率很大程度依赖基础设施项目运营情况，基础设施项目可能因经济环境变化或运营不善等因素影响，导致实际现金流大幅低于测算现金流，存在基金收益率不佳的风险，基础设施项目运营过程中租金、收费等收入的波动也将影响基金收益分配水平的稳定。此外，基础设施基金可直接或间接对外借款，存在基础设施项目经营不达预期，基金无法偿还借款的风险。</w:t>
      </w:r>
    </w:p>
    <w:p w:rsidR="00AB19D9" w:rsidRDefault="00AB19D9" w:rsidP="00AB19D9">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三、流动性风险。基础设施基金采取封闭式运作，不开通申购赎回，只能在二级市场交易，存在流动性不足的风险。</w:t>
      </w:r>
    </w:p>
    <w:p w:rsidR="00AB19D9" w:rsidRDefault="00AB19D9" w:rsidP="00AB19D9">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四、终止上市风险。基础设施基金运作过程中可能因触发法律法规或交易所规定的终止上市情形而终止上市，导致投资者无法在二级市场交易。</w:t>
      </w:r>
    </w:p>
    <w:p w:rsidR="00AB19D9" w:rsidRDefault="00AB19D9" w:rsidP="00AB19D9">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五、税收等政策调整风险。基础设施基金运作过程中可能涉及基金持有人、公募基金、资产支持证券、项目公司等多层面税负，如果国家税收等政策发生调整，可能影响投资运作与基金收益。</w:t>
      </w:r>
    </w:p>
    <w:p w:rsidR="00AB19D9" w:rsidRDefault="00AB19D9" w:rsidP="00AB19D9">
      <w:pPr>
        <w:pStyle w:val="a3"/>
        <w:ind w:firstLineChars="0" w:firstLine="600"/>
        <w:rPr>
          <w:rFonts w:ascii="仿宋_GB2312" w:eastAsia="仿宋_GB2312"/>
          <w:sz w:val="30"/>
          <w:szCs w:val="30"/>
        </w:rPr>
      </w:pPr>
      <w:r>
        <w:rPr>
          <w:rFonts w:ascii="仿宋_GB2312" w:eastAsia="仿宋_GB2312" w:hint="eastAsia"/>
          <w:sz w:val="30"/>
          <w:szCs w:val="30"/>
        </w:rPr>
        <w:t>六、基础设施基金相关法律、行政法规、部门规章、规范性文件（以下简称法律法规）和交易所业务规则，可能根据市场情况进行修改，或者制定新的法律法规和业务规则，投资者应当及时予以关注和了解。</w:t>
      </w:r>
    </w:p>
    <w:p w:rsidR="00AB19D9" w:rsidRDefault="00AB19D9" w:rsidP="00AB19D9">
      <w:pPr>
        <w:pStyle w:val="a3"/>
        <w:ind w:firstLine="600"/>
        <w:rPr>
          <w:rFonts w:ascii="仿宋_GB2312" w:eastAsia="仿宋_GB2312"/>
          <w:sz w:val="30"/>
          <w:szCs w:val="30"/>
        </w:rPr>
      </w:pPr>
      <w:r>
        <w:rPr>
          <w:rFonts w:ascii="仿宋_GB2312" w:eastAsia="仿宋_GB2312" w:hint="eastAsia"/>
          <w:sz w:val="30"/>
          <w:szCs w:val="30"/>
        </w:rPr>
        <w:lastRenderedPageBreak/>
        <w:t>除上述风险提示外，各证券公司、基金管理人、</w:t>
      </w:r>
      <w:r>
        <w:rPr>
          <w:rFonts w:ascii="仿宋_GB2312" w:eastAsia="仿宋_GB2312" w:hAnsi="微软雅黑" w:hint="eastAsia"/>
          <w:color w:val="4D4D4D"/>
          <w:sz w:val="30"/>
          <w:szCs w:val="30"/>
        </w:rPr>
        <w:t>基金销售机构</w:t>
      </w:r>
      <w:r>
        <w:rPr>
          <w:rFonts w:ascii="仿宋_GB2312" w:eastAsia="仿宋_GB2312" w:hint="eastAsia"/>
          <w:sz w:val="30"/>
          <w:szCs w:val="30"/>
        </w:rPr>
        <w:t>还可以根据具体情况在本公司制定的《风险揭示书》中对基础设施基金投资的相关风险做进一步列举。</w:t>
      </w:r>
    </w:p>
    <w:p w:rsidR="00AB19D9" w:rsidRDefault="00AB19D9" w:rsidP="00AB19D9">
      <w:pPr>
        <w:pStyle w:val="a3"/>
        <w:spacing w:line="600" w:lineRule="exact"/>
        <w:ind w:firstLine="602"/>
        <w:rPr>
          <w:rFonts w:ascii="仿宋_GB2312" w:eastAsia="仿宋_GB2312"/>
          <w:b/>
          <w:sz w:val="30"/>
          <w:szCs w:val="30"/>
        </w:rPr>
      </w:pPr>
      <w:r>
        <w:rPr>
          <w:rFonts w:ascii="仿宋_GB2312" w:eastAsia="仿宋_GB2312" w:hint="eastAsia"/>
          <w:b/>
          <w:sz w:val="30"/>
          <w:szCs w:val="30"/>
        </w:rPr>
        <w:t>《</w:t>
      </w:r>
      <w:r>
        <w:rPr>
          <w:rFonts w:ascii="仿宋_GB2312" w:eastAsia="仿宋_GB2312" w:hint="eastAsia"/>
          <w:b/>
          <w:color w:val="000000"/>
          <w:sz w:val="30"/>
          <w:szCs w:val="30"/>
        </w:rPr>
        <w:t>风险揭示书》应当以醒目的文字载明：</w:t>
      </w:r>
    </w:p>
    <w:p w:rsidR="00AB19D9" w:rsidRDefault="00AB19D9" w:rsidP="00AB19D9">
      <w:pPr>
        <w:adjustRightInd w:val="0"/>
        <w:snapToGrid w:val="0"/>
        <w:spacing w:line="560" w:lineRule="exact"/>
        <w:ind w:firstLineChars="200" w:firstLine="600"/>
        <w:rPr>
          <w:rFonts w:ascii="仿宋_GB2312" w:eastAsia="仿宋_GB2312" w:hAnsi="宋体" w:cs="宋体"/>
          <w:kern w:val="0"/>
          <w:sz w:val="30"/>
          <w:szCs w:val="30"/>
        </w:rPr>
      </w:pPr>
      <w:r>
        <w:rPr>
          <w:rFonts w:ascii="仿宋_GB2312" w:eastAsia="仿宋_GB2312" w:hint="eastAsia"/>
          <w:sz w:val="30"/>
          <w:szCs w:val="30"/>
        </w:rPr>
        <w:t>本风险揭示书的揭示事项仅为列举事项，未能详尽列明基础设施基金投资的所有风险。投资者在参与基础设施基金投资前，应认真阅读基金合同、招募说明书等法律文件，熟悉基础设施基金相关法律法规、交易所相关规则等，</w:t>
      </w:r>
      <w:r>
        <w:rPr>
          <w:rFonts w:ascii="仿宋_GB2312" w:eastAsia="仿宋_GB2312" w:hAnsi="宋体" w:cs="宋体" w:hint="eastAsia"/>
          <w:kern w:val="0"/>
          <w:sz w:val="30"/>
          <w:szCs w:val="30"/>
        </w:rPr>
        <w:t>对其他可能存在的风险因素也应当有所了解和掌握，并确信自己已做好足够的风险评估与财务安排，避免因参与</w:t>
      </w:r>
      <w:r>
        <w:rPr>
          <w:rFonts w:ascii="仿宋_GB2312" w:eastAsia="仿宋_GB2312" w:hint="eastAsia"/>
          <w:sz w:val="30"/>
          <w:szCs w:val="30"/>
        </w:rPr>
        <w:t>基础设施基金投资</w:t>
      </w:r>
      <w:r>
        <w:rPr>
          <w:rFonts w:ascii="仿宋_GB2312" w:eastAsia="仿宋_GB2312" w:hAnsi="宋体" w:cs="宋体" w:hint="eastAsia"/>
          <w:kern w:val="0"/>
          <w:sz w:val="30"/>
          <w:szCs w:val="30"/>
        </w:rPr>
        <w:t>遭受难以承受的损失。</w:t>
      </w:r>
    </w:p>
    <w:p w:rsidR="00AB19D9" w:rsidRDefault="00AB19D9" w:rsidP="00AB19D9">
      <w:pPr>
        <w:spacing w:line="600" w:lineRule="exact"/>
        <w:ind w:firstLineChars="200" w:firstLine="600"/>
        <w:jc w:val="left"/>
        <w:rPr>
          <w:rFonts w:ascii="仿宋_GB2312" w:eastAsia="仿宋_GB2312"/>
          <w:b/>
          <w:bCs/>
          <w:color w:val="000000"/>
          <w:sz w:val="28"/>
          <w:szCs w:val="28"/>
        </w:rPr>
      </w:pPr>
      <w:r>
        <w:rPr>
          <w:rFonts w:ascii="仿宋_GB2312" w:eastAsia="仿宋_GB2312" w:hint="eastAsia"/>
          <w:color w:val="000000"/>
          <w:sz w:val="30"/>
          <w:szCs w:val="30"/>
        </w:rPr>
        <w:t>投资者在本《风险揭示书》上签字，即表明投资者已经理解并愿意自行承担参与</w:t>
      </w:r>
      <w:r>
        <w:rPr>
          <w:rFonts w:ascii="仿宋_GB2312" w:eastAsia="仿宋_GB2312" w:hint="eastAsia"/>
          <w:sz w:val="30"/>
          <w:szCs w:val="30"/>
        </w:rPr>
        <w:t>基础设施基金相关业务</w:t>
      </w:r>
      <w:r>
        <w:rPr>
          <w:rFonts w:ascii="仿宋_GB2312" w:eastAsia="仿宋_GB2312" w:hint="eastAsia"/>
          <w:color w:val="000000"/>
          <w:sz w:val="30"/>
          <w:szCs w:val="30"/>
        </w:rPr>
        <w:t>的风险和损失。</w:t>
      </w:r>
    </w:p>
    <w:p w:rsidR="00AB19D9" w:rsidRDefault="00AB19D9" w:rsidP="00AB19D9">
      <w:pPr>
        <w:spacing w:line="600" w:lineRule="exact"/>
        <w:jc w:val="center"/>
        <w:rPr>
          <w:rFonts w:ascii="仿宋_GB2312" w:eastAsia="仿宋_GB2312"/>
          <w:b/>
          <w:bCs/>
          <w:color w:val="000000"/>
          <w:sz w:val="28"/>
          <w:szCs w:val="28"/>
        </w:rPr>
      </w:pPr>
    </w:p>
    <w:p w:rsidR="00AB19D9" w:rsidRPr="00977381" w:rsidRDefault="00AB19D9" w:rsidP="00AB19D9"/>
    <w:p w:rsidR="00EC160F" w:rsidRPr="00AB19D9" w:rsidRDefault="00EC160F"/>
    <w:sectPr w:rsidR="00EC160F" w:rsidRPr="00AB19D9" w:rsidSect="00EC160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794" w:rsidRDefault="00823794" w:rsidP="00AB19D9">
      <w:r>
        <w:separator/>
      </w:r>
    </w:p>
  </w:endnote>
  <w:endnote w:type="continuationSeparator" w:id="0">
    <w:p w:rsidR="00823794" w:rsidRDefault="00823794" w:rsidP="00AB19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974580"/>
      <w:docPartObj>
        <w:docPartGallery w:val="Page Numbers (Bottom of Page)"/>
        <w:docPartUnique/>
      </w:docPartObj>
    </w:sdtPr>
    <w:sdtContent>
      <w:p w:rsidR="00AB19D9" w:rsidRDefault="007373B0">
        <w:pPr>
          <w:pStyle w:val="a5"/>
          <w:jc w:val="center"/>
        </w:pPr>
        <w:fldSimple w:instr=" PAGE   \* MERGEFORMAT ">
          <w:r w:rsidR="00455949" w:rsidRPr="00455949">
            <w:rPr>
              <w:noProof/>
              <w:lang w:val="zh-CN"/>
            </w:rPr>
            <w:t>1</w:t>
          </w:r>
        </w:fldSimple>
      </w:p>
    </w:sdtContent>
  </w:sdt>
  <w:p w:rsidR="00AB19D9" w:rsidRDefault="00AB19D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794" w:rsidRDefault="00823794" w:rsidP="00AB19D9">
      <w:r>
        <w:separator/>
      </w:r>
    </w:p>
  </w:footnote>
  <w:footnote w:type="continuationSeparator" w:id="0">
    <w:p w:rsidR="00823794" w:rsidRDefault="00823794" w:rsidP="00AB19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19D9"/>
    <w:rsid w:val="00455949"/>
    <w:rsid w:val="007373B0"/>
    <w:rsid w:val="00823794"/>
    <w:rsid w:val="0087451A"/>
    <w:rsid w:val="00AB19D9"/>
    <w:rsid w:val="00B908B7"/>
    <w:rsid w:val="00EC16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9D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列出段落 Char"/>
    <w:link w:val="a3"/>
    <w:qFormat/>
    <w:locked/>
    <w:rsid w:val="00AB19D9"/>
    <w:rPr>
      <w:szCs w:val="24"/>
    </w:rPr>
  </w:style>
  <w:style w:type="paragraph" w:styleId="a3">
    <w:name w:val="List Paragraph"/>
    <w:basedOn w:val="a"/>
    <w:link w:val="Char"/>
    <w:qFormat/>
    <w:rsid w:val="00AB19D9"/>
    <w:pPr>
      <w:ind w:firstLineChars="200" w:firstLine="420"/>
    </w:pPr>
    <w:rPr>
      <w:rFonts w:asciiTheme="minorHAnsi" w:eastAsiaTheme="minorEastAsia" w:hAnsiTheme="minorHAnsi" w:cstheme="minorBidi"/>
      <w:szCs w:val="24"/>
    </w:rPr>
  </w:style>
  <w:style w:type="paragraph" w:styleId="a4">
    <w:name w:val="header"/>
    <w:basedOn w:val="a"/>
    <w:link w:val="Char0"/>
    <w:uiPriority w:val="99"/>
    <w:semiHidden/>
    <w:unhideWhenUsed/>
    <w:rsid w:val="00AB19D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B19D9"/>
    <w:rPr>
      <w:rFonts w:ascii="Times New Roman" w:eastAsia="宋体" w:hAnsi="Times New Roman" w:cs="Times New Roman"/>
      <w:sz w:val="18"/>
      <w:szCs w:val="18"/>
    </w:rPr>
  </w:style>
  <w:style w:type="paragraph" w:styleId="a5">
    <w:name w:val="footer"/>
    <w:basedOn w:val="a"/>
    <w:link w:val="Char1"/>
    <w:uiPriority w:val="99"/>
    <w:unhideWhenUsed/>
    <w:rsid w:val="00AB19D9"/>
    <w:pPr>
      <w:tabs>
        <w:tab w:val="center" w:pos="4153"/>
        <w:tab w:val="right" w:pos="8306"/>
      </w:tabs>
      <w:snapToGrid w:val="0"/>
      <w:jc w:val="left"/>
    </w:pPr>
    <w:rPr>
      <w:sz w:val="18"/>
      <w:szCs w:val="18"/>
    </w:rPr>
  </w:style>
  <w:style w:type="character" w:customStyle="1" w:styleId="Char1">
    <w:name w:val="页脚 Char"/>
    <w:basedOn w:val="a0"/>
    <w:link w:val="a5"/>
    <w:uiPriority w:val="99"/>
    <w:rsid w:val="00AB19D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王晓晨(拟稿)</dc:creator>
  <cp:lastModifiedBy>何昕(送（会签）部门相关人员)</cp:lastModifiedBy>
  <cp:revision>2</cp:revision>
  <dcterms:created xsi:type="dcterms:W3CDTF">2021-04-30T02:11:00Z</dcterms:created>
  <dcterms:modified xsi:type="dcterms:W3CDTF">2021-04-30T08:59:00Z</dcterms:modified>
</cp:coreProperties>
</file>