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0" w:rightChars="100"/>
        <w:jc w:val="center"/>
        <w:rPr>
          <w:rFonts w:hint="eastAsia" w:ascii="黑体" w:hAnsi="黑体" w:eastAsia="黑体"/>
          <w:b w:val="0"/>
          <w:bCs/>
          <w:sz w:val="44"/>
          <w:szCs w:val="44"/>
        </w:rPr>
      </w:pPr>
    </w:p>
    <w:p>
      <w:pPr>
        <w:spacing w:line="560" w:lineRule="exact"/>
        <w:ind w:right="210" w:rightChars="100"/>
        <w:jc w:val="center"/>
        <w:rPr>
          <w:rFonts w:hint="eastAsia"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</w:rPr>
        <w:t>上海证券交易所发行上市审核业务指南</w:t>
      </w:r>
    </w:p>
    <w:p>
      <w:pPr>
        <w:spacing w:line="560" w:lineRule="exact"/>
        <w:ind w:right="210" w:rightChars="100"/>
        <w:jc w:val="center"/>
        <w:rPr>
          <w:rFonts w:hint="eastAsia"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</w:rPr>
        <w:t>第</w:t>
      </w:r>
      <w:r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b w:val="0"/>
          <w:bCs/>
          <w:sz w:val="44"/>
          <w:szCs w:val="44"/>
        </w:rPr>
        <w:t>号——常见问题的信息披露和</w:t>
      </w:r>
    </w:p>
    <w:p>
      <w:pPr>
        <w:spacing w:line="560" w:lineRule="exact"/>
        <w:ind w:right="210" w:rightChars="100"/>
        <w:jc w:val="center"/>
        <w:rPr>
          <w:rFonts w:ascii="方正大标宋简体" w:hAnsi="方正大标宋简体" w:eastAsia="方正大标宋简体" w:cs="Times New Roman"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</w:rPr>
        <w:t>核查要求自查表</w:t>
      </w:r>
    </w:p>
    <w:p>
      <w:pPr>
        <w:spacing w:line="560" w:lineRule="exact"/>
        <w:ind w:right="210" w:rightChars="100"/>
        <w:rPr>
          <w:rFonts w:ascii="仿宋_GB2312" w:hAnsi="黑体" w:eastAsia="仿宋_GB2312" w:cs="Times New Roman"/>
          <w:sz w:val="30"/>
          <w:szCs w:val="30"/>
        </w:rPr>
      </w:pPr>
    </w:p>
    <w:p>
      <w:pPr>
        <w:spacing w:line="600" w:lineRule="exac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了</w:t>
      </w:r>
      <w:r>
        <w:rPr>
          <w:rFonts w:hint="eastAsia" w:ascii="Times New Roman" w:hAnsi="Times New Roman" w:eastAsia="仿宋_GB2312"/>
          <w:sz w:val="30"/>
          <w:szCs w:val="30"/>
        </w:rPr>
        <w:t>进一步压实发行人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、上市公司（以下统称发行人）</w:t>
      </w:r>
      <w:r>
        <w:rPr>
          <w:rFonts w:hint="eastAsia" w:ascii="Times New Roman" w:hAnsi="Times New Roman" w:eastAsia="仿宋_GB2312"/>
          <w:sz w:val="30"/>
          <w:szCs w:val="30"/>
        </w:rPr>
        <w:t>的信息披露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主体</w:t>
      </w:r>
      <w:r>
        <w:rPr>
          <w:rFonts w:hint="eastAsia" w:ascii="Times New Roman" w:hAnsi="Times New Roman" w:eastAsia="仿宋_GB2312"/>
          <w:sz w:val="30"/>
          <w:szCs w:val="30"/>
        </w:rPr>
        <w:t>责任和中介机构的“看门人”责任，</w:t>
      </w:r>
      <w:r>
        <w:rPr>
          <w:rFonts w:hint="eastAsia" w:ascii="仿宋_GB2312" w:eastAsia="仿宋_GB2312"/>
          <w:sz w:val="30"/>
          <w:szCs w:val="30"/>
          <w:lang w:bidi="ar"/>
        </w:rPr>
        <w:t>上海证券交易所</w:t>
      </w:r>
      <w:r>
        <w:rPr>
          <w:rFonts w:hint="eastAsia" w:ascii="仿宋_GB2312" w:eastAsia="仿宋_GB2312"/>
          <w:sz w:val="30"/>
          <w:szCs w:val="30"/>
          <w:lang w:eastAsia="zh-CN" w:bidi="ar"/>
        </w:rPr>
        <w:t>（以下简称本所）</w:t>
      </w:r>
      <w:r>
        <w:rPr>
          <w:rFonts w:hint="eastAsia" w:ascii="Times New Roman" w:hAnsi="Times New Roman" w:eastAsia="仿宋_GB2312"/>
          <w:sz w:val="30"/>
          <w:szCs w:val="30"/>
        </w:rPr>
        <w:t>根据</w:t>
      </w:r>
      <w:r>
        <w:rPr>
          <w:rFonts w:hint="eastAsia" w:ascii="仿宋_GB2312" w:hAnsi="仿宋" w:eastAsia="仿宋_GB2312" w:cs="Times New Roman"/>
          <w:sz w:val="30"/>
          <w:szCs w:val="30"/>
        </w:rPr>
        <w:t>全面实行注册制制度规则</w:t>
      </w:r>
      <w:r>
        <w:rPr>
          <w:rFonts w:hint="eastAsia" w:ascii="Times New Roman" w:hAnsi="Times New Roman" w:eastAsia="仿宋_GB2312"/>
          <w:sz w:val="30"/>
          <w:szCs w:val="30"/>
        </w:rPr>
        <w:t>，对主板和科创板首发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、再融资、重大资产重组</w:t>
      </w:r>
      <w:r>
        <w:rPr>
          <w:rFonts w:hint="eastAsia" w:ascii="Times New Roman" w:hAnsi="Times New Roman" w:eastAsia="仿宋_GB2312"/>
          <w:sz w:val="30"/>
          <w:szCs w:val="30"/>
        </w:rPr>
        <w:t>申报文件中的常见问题进行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了</w:t>
      </w:r>
      <w:r>
        <w:rPr>
          <w:rFonts w:hint="eastAsia" w:ascii="Times New Roman" w:hAnsi="Times New Roman" w:eastAsia="仿宋_GB2312"/>
          <w:sz w:val="30"/>
          <w:szCs w:val="30"/>
        </w:rPr>
        <w:t>梳理，</w:t>
      </w:r>
      <w:r>
        <w:rPr>
          <w:rFonts w:hint="eastAsia" w:ascii="仿宋_GB2312" w:hAnsi="仿宋_GB2312" w:eastAsia="仿宋_GB2312" w:cs="仿宋_GB2312"/>
          <w:sz w:val="30"/>
          <w:szCs w:val="30"/>
        </w:rPr>
        <w:t>制定本指南。</w:t>
      </w:r>
    </w:p>
    <w:p>
      <w:pPr>
        <w:spacing w:line="560" w:lineRule="exact"/>
        <w:ind w:firstLine="602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本指南适用于本所所有主板和科创板发行人，</w:t>
      </w:r>
      <w:r>
        <w:rPr>
          <w:rFonts w:hint="eastAsia" w:ascii="仿宋_GB2312" w:hAnsi="Times New Roman" w:eastAsia="仿宋_GB2312"/>
          <w:sz w:val="30"/>
          <w:szCs w:val="30"/>
        </w:rPr>
        <w:t>相关事项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明确</w:t>
      </w:r>
      <w:r>
        <w:rPr>
          <w:rFonts w:hint="eastAsia" w:ascii="仿宋_GB2312" w:hAnsi="Times New Roman" w:eastAsia="仿宋_GB2312"/>
          <w:sz w:val="30"/>
          <w:szCs w:val="30"/>
        </w:rPr>
        <w:t>注明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适用于主板或者</w:t>
      </w:r>
      <w:r>
        <w:rPr>
          <w:rFonts w:hint="eastAsia" w:ascii="仿宋_GB2312" w:hAnsi="Times New Roman" w:eastAsia="仿宋_GB2312"/>
          <w:sz w:val="30"/>
          <w:szCs w:val="30"/>
        </w:rPr>
        <w:t>科创板的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除外</w:t>
      </w:r>
      <w:r>
        <w:rPr>
          <w:rFonts w:hint="eastAsia" w:ascii="仿宋_GB2312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保荐人（独立财务顾问）</w:t>
      </w:r>
      <w:r>
        <w:rPr>
          <w:rFonts w:hint="eastAsia" w:ascii="Times New Roman" w:hAnsi="Times New Roman" w:eastAsia="仿宋_GB2312"/>
          <w:sz w:val="30"/>
          <w:szCs w:val="30"/>
        </w:rPr>
        <w:t>、律师事务所、会计师事务所等中介机构可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以</w:t>
      </w:r>
      <w:r>
        <w:rPr>
          <w:rFonts w:hint="eastAsia" w:ascii="Times New Roman" w:hAnsi="Times New Roman" w:eastAsia="仿宋_GB2312"/>
          <w:sz w:val="30"/>
          <w:szCs w:val="30"/>
        </w:rPr>
        <w:t>参考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本指南</w:t>
      </w:r>
      <w:r>
        <w:rPr>
          <w:rFonts w:hint="eastAsia" w:ascii="Times New Roman" w:hAnsi="Times New Roman" w:eastAsia="仿宋_GB2312"/>
          <w:sz w:val="30"/>
          <w:szCs w:val="30"/>
        </w:rPr>
        <w:t>的填写要求，在提交申请文件的同时或受理后</w:t>
      </w:r>
      <w:r>
        <w:rPr>
          <w:rFonts w:ascii="Times New Roman" w:hAnsi="Times New Roman" w:eastAsia="仿宋_GB2312"/>
          <w:sz w:val="30"/>
          <w:szCs w:val="30"/>
        </w:rPr>
        <w:t>3个工作日内提交表格及相关专项报告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（如有）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本指南</w:t>
      </w:r>
      <w:r>
        <w:rPr>
          <w:rFonts w:hint="eastAsia" w:ascii="仿宋_GB2312" w:hAnsi="Times New Roman" w:eastAsia="仿宋_GB2312"/>
          <w:sz w:val="30"/>
          <w:szCs w:val="30"/>
        </w:rPr>
        <w:t>仅列示常见申报问题供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中介机构</w:t>
      </w:r>
      <w:r>
        <w:rPr>
          <w:rFonts w:hint="eastAsia" w:ascii="仿宋_GB2312" w:hAnsi="Times New Roman" w:eastAsia="仿宋_GB2312"/>
          <w:sz w:val="30"/>
          <w:szCs w:val="30"/>
        </w:rPr>
        <w:t>参考。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中介</w:t>
      </w:r>
      <w:r>
        <w:rPr>
          <w:rFonts w:hint="eastAsia" w:ascii="仿宋_GB2312" w:hAnsi="Times New Roman" w:eastAsia="仿宋_GB2312"/>
          <w:sz w:val="30"/>
          <w:szCs w:val="30"/>
        </w:rPr>
        <w:t>机构应当按照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本所</w:t>
      </w:r>
      <w:r>
        <w:rPr>
          <w:rFonts w:hint="eastAsia" w:ascii="Times New Roman" w:hAnsi="Times New Roman" w:eastAsia="仿宋_GB2312"/>
          <w:sz w:val="30"/>
          <w:szCs w:val="30"/>
        </w:rPr>
        <w:t>首发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、再融资、重大资产重组等业务</w:t>
      </w:r>
      <w:r>
        <w:rPr>
          <w:rFonts w:hint="eastAsia" w:ascii="仿宋_GB2312" w:hAnsi="Times New Roman" w:eastAsia="仿宋_GB2312"/>
          <w:sz w:val="30"/>
          <w:szCs w:val="30"/>
        </w:rPr>
        <w:t>规则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的</w:t>
      </w:r>
      <w:r>
        <w:rPr>
          <w:rFonts w:hint="eastAsia" w:ascii="仿宋_GB2312" w:hAnsi="Times New Roman" w:eastAsia="仿宋_GB2312"/>
          <w:sz w:val="30"/>
          <w:szCs w:val="30"/>
        </w:rPr>
        <w:t>规定并结合发行人实际情况，全面履行核查义务。</w:t>
      </w:r>
    </w:p>
    <w:p>
      <w:pPr>
        <w:spacing w:line="600" w:lineRule="exact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发行人存在其他影响发行上市条件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、重组条件</w:t>
      </w:r>
      <w:r>
        <w:rPr>
          <w:rFonts w:hint="eastAsia" w:ascii="仿宋_GB2312" w:hAnsi="Times New Roman" w:eastAsia="仿宋_GB2312"/>
          <w:sz w:val="30"/>
          <w:szCs w:val="30"/>
        </w:rPr>
        <w:t>的重大事项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，或者相关事项系</w:t>
      </w:r>
      <w:r>
        <w:rPr>
          <w:rFonts w:hint="eastAsia" w:ascii="仿宋_GB2312" w:hAnsi="Times New Roman" w:eastAsia="仿宋_GB2312"/>
          <w:sz w:val="30"/>
          <w:szCs w:val="30"/>
        </w:rPr>
        <w:t>根据最新监管要求进行披露及核查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，本指南未作规定</w:t>
      </w:r>
      <w:r>
        <w:rPr>
          <w:rFonts w:hint="eastAsia" w:ascii="仿宋_GB2312" w:hAnsi="Times New Roman" w:eastAsia="仿宋_GB2312"/>
          <w:sz w:val="30"/>
          <w:szCs w:val="30"/>
        </w:rPr>
        <w:t>的，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中介</w:t>
      </w:r>
      <w:r>
        <w:rPr>
          <w:rFonts w:hint="eastAsia" w:ascii="仿宋_GB2312" w:hAnsi="Times New Roman" w:eastAsia="仿宋_GB2312"/>
          <w:sz w:val="30"/>
          <w:szCs w:val="30"/>
        </w:rPr>
        <w:t>机构可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以</w:t>
      </w:r>
      <w:r>
        <w:rPr>
          <w:rFonts w:hint="eastAsia" w:ascii="仿宋_GB2312" w:hAnsi="Times New Roman" w:eastAsia="仿宋_GB2312"/>
          <w:sz w:val="30"/>
          <w:szCs w:val="30"/>
        </w:rPr>
        <w:t>对自查表进行必要的增补。</w:t>
      </w:r>
    </w:p>
    <w:p>
      <w:pPr>
        <w:spacing w:line="60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  <w:lang w:eastAsia="zh-CN"/>
        </w:rPr>
        <w:t>本指南具体填写内容</w:t>
      </w:r>
      <w:r>
        <w:rPr>
          <w:rFonts w:hint="eastAsia" w:ascii="仿宋_GB2312" w:hAnsi="Times New Roman" w:eastAsia="仿宋_GB2312"/>
          <w:sz w:val="30"/>
          <w:szCs w:val="30"/>
        </w:rPr>
        <w:t>对发行人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确实</w:t>
      </w:r>
      <w:r>
        <w:rPr>
          <w:rFonts w:hint="eastAsia" w:ascii="仿宋_GB2312" w:hAnsi="Times New Roman" w:eastAsia="仿宋_GB2312"/>
          <w:sz w:val="30"/>
          <w:szCs w:val="30"/>
        </w:rPr>
        <w:t>不适用的，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中介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机构</w:t>
      </w:r>
      <w:r>
        <w:rPr>
          <w:rFonts w:hint="eastAsia" w:ascii="仿宋_GB2312" w:hAnsi="Times New Roman" w:eastAsia="仿宋_GB2312"/>
          <w:sz w:val="30"/>
          <w:szCs w:val="30"/>
        </w:rPr>
        <w:t>原则上无需在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相关</w:t>
      </w:r>
      <w:r>
        <w:rPr>
          <w:rFonts w:hint="eastAsia" w:ascii="仿宋_GB2312" w:hAnsi="Times New Roman" w:eastAsia="仿宋_GB2312"/>
          <w:sz w:val="30"/>
          <w:szCs w:val="30"/>
        </w:rPr>
        <w:t>报告中进行说明，但需在自查表“备注”一栏中写明理由。有其他需要特别说明的事</w:t>
      </w:r>
      <w:bookmarkStart w:id="0" w:name="_GoBack"/>
      <w:bookmarkEnd w:id="0"/>
      <w:r>
        <w:rPr>
          <w:rFonts w:hint="eastAsia" w:ascii="仿宋_GB2312" w:hAnsi="Times New Roman" w:eastAsia="仿宋_GB2312"/>
          <w:sz w:val="30"/>
          <w:szCs w:val="30"/>
        </w:rPr>
        <w:t>项，亦在“备注”一栏中填写。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>自查表应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当</w:t>
      </w:r>
      <w:r>
        <w:rPr>
          <w:rFonts w:ascii="Times New Roman" w:hAnsi="Times New Roman" w:eastAsia="仿宋_GB2312"/>
          <w:sz w:val="30"/>
          <w:szCs w:val="30"/>
        </w:rPr>
        <w:t>由保荐业务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（独立财务顾问重组业务）</w:t>
      </w:r>
      <w:r>
        <w:rPr>
          <w:rFonts w:ascii="Times New Roman" w:hAnsi="Times New Roman" w:eastAsia="仿宋_GB2312"/>
          <w:sz w:val="30"/>
          <w:szCs w:val="30"/>
        </w:rPr>
        <w:t>负责人、内核负责人、投行质控负责人、保荐代表人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/>
          <w:sz w:val="30"/>
          <w:szCs w:val="30"/>
        </w:rPr>
        <w:t>项目主办</w:t>
      </w:r>
      <w:r>
        <w:rPr>
          <w:rFonts w:ascii="Times New Roman" w:hAnsi="Times New Roman" w:eastAsia="仿宋_GB2312"/>
          <w:sz w:val="30"/>
          <w:szCs w:val="30"/>
        </w:rPr>
        <w:t>人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  <w:r>
        <w:rPr>
          <w:rFonts w:ascii="Times New Roman" w:hAnsi="Times New Roman" w:eastAsia="仿宋_GB2312"/>
          <w:sz w:val="30"/>
          <w:szCs w:val="30"/>
        </w:rPr>
        <w:t>、签字会计师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</w:t>
      </w:r>
      <w:r>
        <w:rPr>
          <w:rFonts w:ascii="Times New Roman" w:hAnsi="Times New Roman" w:eastAsia="仿宋_GB2312"/>
          <w:sz w:val="30"/>
          <w:szCs w:val="30"/>
        </w:rPr>
        <w:t>签字律师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等</w:t>
      </w:r>
      <w:r>
        <w:rPr>
          <w:rFonts w:ascii="Times New Roman" w:hAnsi="Times New Roman" w:eastAsia="仿宋_GB2312"/>
          <w:sz w:val="30"/>
          <w:szCs w:val="30"/>
        </w:rPr>
        <w:t>签字，加盖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保荐人（</w:t>
      </w:r>
      <w:r>
        <w:rPr>
          <w:rFonts w:hint="eastAsia" w:ascii="Times New Roman" w:hAnsi="Times New Roman" w:eastAsia="仿宋_GB2312"/>
          <w:sz w:val="30"/>
          <w:szCs w:val="30"/>
        </w:rPr>
        <w:t>独立财务顾问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  <w:r>
        <w:rPr>
          <w:rFonts w:ascii="Times New Roman" w:hAnsi="Times New Roman" w:eastAsia="仿宋_GB2312"/>
          <w:sz w:val="30"/>
          <w:szCs w:val="30"/>
        </w:rPr>
        <w:t>、会计师事务所、律师事务所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等机构</w:t>
      </w:r>
      <w:r>
        <w:rPr>
          <w:rFonts w:ascii="Times New Roman" w:hAnsi="Times New Roman" w:eastAsia="仿宋_GB2312"/>
          <w:sz w:val="30"/>
          <w:szCs w:val="30"/>
        </w:rPr>
        <w:t>公章并注明签署日期。会计师专项核查报告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（如有）</w:t>
      </w:r>
      <w:r>
        <w:rPr>
          <w:rFonts w:ascii="Times New Roman" w:hAnsi="Times New Roman" w:eastAsia="仿宋_GB2312"/>
          <w:sz w:val="30"/>
          <w:szCs w:val="30"/>
        </w:rPr>
        <w:t>应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当</w:t>
      </w:r>
      <w:r>
        <w:rPr>
          <w:rFonts w:ascii="Times New Roman" w:hAnsi="Times New Roman" w:eastAsia="仿宋_GB2312"/>
          <w:sz w:val="30"/>
          <w:szCs w:val="30"/>
        </w:rPr>
        <w:t>由签字会计师签字，加盖会计师事务所公章并注明签署日期。</w:t>
      </w:r>
    </w:p>
    <w:p>
      <w:pPr>
        <w:spacing w:line="600" w:lineRule="exact"/>
        <w:ind w:left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本指南由本所负责解释。</w:t>
      </w:r>
    </w:p>
    <w:p>
      <w:pPr>
        <w:spacing w:line="600" w:lineRule="exact"/>
        <w:ind w:left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本指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南自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2023年3月18日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起施行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第一号 首次公开发行</w:t>
      </w:r>
    </w:p>
    <w:p>
      <w:pPr>
        <w:spacing w:line="600" w:lineRule="exact"/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第二号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上市公司向不特定对象发行证券</w:t>
      </w:r>
    </w:p>
    <w:p>
      <w:pPr>
        <w:spacing w:line="600" w:lineRule="exact"/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第三号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上市公司向特定对象发行证券</w:t>
      </w:r>
    </w:p>
    <w:p>
      <w:pPr>
        <w:spacing w:line="600" w:lineRule="exact"/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第四号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上市公司以简易程序向特定对象发行证券</w:t>
      </w:r>
    </w:p>
    <w:p>
      <w:pPr>
        <w:spacing w:line="600" w:lineRule="exact"/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第五号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上市公司重大资产重组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C6A22"/>
    <w:rsid w:val="092D2B24"/>
    <w:rsid w:val="0B4F4B5A"/>
    <w:rsid w:val="0C1739E5"/>
    <w:rsid w:val="0CF32EF4"/>
    <w:rsid w:val="13775F46"/>
    <w:rsid w:val="1BD57C5E"/>
    <w:rsid w:val="20B227FE"/>
    <w:rsid w:val="26BC6A22"/>
    <w:rsid w:val="30696F72"/>
    <w:rsid w:val="311846E7"/>
    <w:rsid w:val="45846CF4"/>
    <w:rsid w:val="45B420F0"/>
    <w:rsid w:val="499A298C"/>
    <w:rsid w:val="551D275C"/>
    <w:rsid w:val="61995E6F"/>
    <w:rsid w:val="65916C99"/>
    <w:rsid w:val="69E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2023-02-27T11:50:00Z</dcterms:created>
  <dcterms:modified xsi:type="dcterms:W3CDTF">2023-03-16T11:55:22Z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79CE59EE18AA4137B18ECD37A3C91E50</vt:lpwstr>
  </property>
</Properties>
</file>