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9A9F5" w14:textId="3FBA5BE5" w:rsidR="000958C2" w:rsidRPr="00805839" w:rsidRDefault="000958C2" w:rsidP="000958C2">
      <w:pPr>
        <w:spacing w:line="540" w:lineRule="exact"/>
        <w:ind w:firstLineChars="0" w:firstLine="0"/>
        <w:rPr>
          <w:rFonts w:cs="黑体"/>
          <w:bCs/>
        </w:rPr>
      </w:pPr>
      <w:bookmarkStart w:id="0" w:name="_Hlk162526704"/>
      <w:r w:rsidRPr="00805839">
        <w:rPr>
          <w:rFonts w:cs="黑体" w:hint="eastAsia"/>
          <w:bCs/>
        </w:rPr>
        <w:t>附件</w:t>
      </w:r>
      <w:bookmarkEnd w:id="0"/>
      <w:r w:rsidR="00BF4EBE" w:rsidRPr="00805839">
        <w:rPr>
          <w:rFonts w:cs="黑体" w:hint="eastAsia"/>
          <w:bCs/>
        </w:rPr>
        <w:t>2</w:t>
      </w:r>
    </w:p>
    <w:p w14:paraId="3A17E0E9" w14:textId="77777777" w:rsidR="008E6506" w:rsidRDefault="008E6506" w:rsidP="000958C2">
      <w:pPr>
        <w:adjustRightInd w:val="0"/>
        <w:snapToGrid w:val="0"/>
        <w:ind w:firstLineChars="0" w:firstLine="0"/>
        <w:rPr>
          <w:rFonts w:ascii="仿宋_GB2312" w:hAnsiTheme="minorHAnsi"/>
        </w:rPr>
      </w:pPr>
    </w:p>
    <w:p w14:paraId="411C11AD" w14:textId="77777777" w:rsidR="008E6506" w:rsidRDefault="001E4E81">
      <w:pPr>
        <w:adjustRightInd w:val="0"/>
        <w:snapToGrid w:val="0"/>
        <w:ind w:firstLineChars="0" w:firstLine="0"/>
        <w:jc w:val="center"/>
        <w:rPr>
          <w:rFonts w:ascii="黑体" w:eastAsia="黑体" w:hAnsi="黑体"/>
          <w:b/>
          <w:sz w:val="44"/>
          <w:szCs w:val="44"/>
        </w:rPr>
      </w:pPr>
      <w:r>
        <w:rPr>
          <w:rFonts w:ascii="黑体" w:eastAsia="黑体" w:hAnsi="黑体" w:hint="eastAsia"/>
          <w:b/>
          <w:sz w:val="44"/>
          <w:szCs w:val="44"/>
        </w:rPr>
        <w:t>《上海证券交易所科创板上市公司自律监管指引第4号——询价转让和配售》</w:t>
      </w:r>
    </w:p>
    <w:p w14:paraId="6CDEFB2D" w14:textId="77777777" w:rsidR="008E6506" w:rsidRDefault="001E4E81">
      <w:pPr>
        <w:adjustRightInd w:val="0"/>
        <w:snapToGrid w:val="0"/>
        <w:ind w:firstLineChars="0" w:firstLine="0"/>
        <w:jc w:val="center"/>
        <w:rPr>
          <w:rFonts w:ascii="黑体" w:eastAsia="黑体" w:hAnsi="黑体"/>
          <w:b/>
          <w:sz w:val="44"/>
          <w:szCs w:val="44"/>
        </w:rPr>
      </w:pPr>
      <w:r>
        <w:rPr>
          <w:rFonts w:ascii="黑体" w:eastAsia="黑体" w:hAnsi="黑体" w:hint="eastAsia"/>
          <w:b/>
          <w:sz w:val="44"/>
          <w:szCs w:val="44"/>
        </w:rPr>
        <w:t>起草说明</w:t>
      </w:r>
    </w:p>
    <w:p w14:paraId="4156EBAD" w14:textId="77777777" w:rsidR="008E6506" w:rsidRDefault="008E6506">
      <w:pPr>
        <w:adjustRightInd w:val="0"/>
        <w:snapToGrid w:val="0"/>
        <w:ind w:firstLine="640"/>
        <w:rPr>
          <w:rFonts w:ascii="仿宋_GB2312" w:hAnsiTheme="minorHAnsi" w:cstheme="minorBidi"/>
        </w:rPr>
      </w:pPr>
    </w:p>
    <w:p w14:paraId="3E9C2F47" w14:textId="77777777" w:rsidR="008E6506" w:rsidRDefault="001E4E81">
      <w:pPr>
        <w:adjustRightInd w:val="0"/>
        <w:snapToGrid w:val="0"/>
        <w:ind w:firstLine="640"/>
        <w:rPr>
          <w:rFonts w:ascii="仿宋_GB2312"/>
        </w:rPr>
      </w:pPr>
      <w:r>
        <w:rPr>
          <w:rFonts w:ascii="仿宋_GB2312" w:hint="eastAsia"/>
        </w:rPr>
        <w:t>为深入贯彻落实中央金融工作会议精神和《国务院关于加强监管防范风险推动资本市场高质量发展的若干意见》，进一步规范</w:t>
      </w:r>
      <w:proofErr w:type="gramStart"/>
      <w:r>
        <w:rPr>
          <w:rFonts w:ascii="仿宋_GB2312" w:hint="eastAsia"/>
        </w:rPr>
        <w:t>科创板</w:t>
      </w:r>
      <w:proofErr w:type="gramEnd"/>
      <w:r>
        <w:rPr>
          <w:rFonts w:ascii="仿宋_GB2312" w:hint="eastAsia"/>
        </w:rPr>
        <w:t>上市公司股东通过询价转让和配售方式转让股份，防范绕道减持，维护市场信心，根据中国证监会《关于加强上市公司监管的意见（试行）》（以下简称《意见》）</w:t>
      </w:r>
      <w:r>
        <w:rPr>
          <w:rFonts w:ascii="仿宋_GB2312" w:hAnsi="宋体" w:cs="宋体" w:hint="eastAsia"/>
        </w:rPr>
        <w:t>等规定</w:t>
      </w:r>
      <w:r>
        <w:rPr>
          <w:rFonts w:ascii="仿宋_GB2312" w:hint="eastAsia"/>
        </w:rPr>
        <w:t>，并结合实践运行情况，本所修订了《上海证券交易所科创板上市公司股东以向特定机构投资者询价转让和配售方式减持股份实施细则》，并更名为《上海证券交易所科创板上市公司自律监管指引第4号——询价转让和配售》（以下简称《指引》）。征求意见期间，共收到反馈意见3条，相关意见在《指引》中已有体现。现将有关情况说明如下。</w:t>
      </w:r>
    </w:p>
    <w:p w14:paraId="08CE920F" w14:textId="77777777" w:rsidR="008E6506" w:rsidRDefault="001E4E81">
      <w:pPr>
        <w:adjustRightInd w:val="0"/>
        <w:snapToGrid w:val="0"/>
        <w:ind w:firstLine="643"/>
        <w:rPr>
          <w:rFonts w:ascii="仿宋_GB2312" w:hAnsi="仿宋_GB2312" w:cs="仿宋_GB2312"/>
          <w:bCs/>
        </w:rPr>
      </w:pPr>
      <w:r>
        <w:rPr>
          <w:rFonts w:ascii="仿宋_GB2312" w:hAnsi="仿宋_GB2312" w:cs="仿宋_GB2312" w:hint="eastAsia"/>
          <w:b/>
        </w:rPr>
        <w:t>一是严格规范控股股东、实际控制人进行询价转让。</w:t>
      </w:r>
      <w:r>
        <w:rPr>
          <w:rFonts w:ascii="仿宋_GB2312" w:hAnsi="仿宋_GB2312" w:cs="仿宋_GB2312" w:hint="eastAsia"/>
          <w:bCs/>
        </w:rPr>
        <w:t>深入落实《意见》要求，</w:t>
      </w:r>
      <w:proofErr w:type="gramStart"/>
      <w:r>
        <w:rPr>
          <w:rFonts w:ascii="仿宋_GB2312" w:hAnsi="仿宋_GB2312" w:cs="仿宋_GB2312" w:hint="eastAsia"/>
          <w:bCs/>
        </w:rPr>
        <w:t>明确科创</w:t>
      </w:r>
      <w:proofErr w:type="gramEnd"/>
      <w:r>
        <w:rPr>
          <w:rFonts w:ascii="仿宋_GB2312" w:hAnsi="仿宋_GB2312" w:cs="仿宋_GB2312" w:hint="eastAsia"/>
          <w:bCs/>
        </w:rPr>
        <w:t>公司存在破发、</w:t>
      </w:r>
      <w:proofErr w:type="gramStart"/>
      <w:r>
        <w:rPr>
          <w:rFonts w:ascii="仿宋_GB2312" w:hAnsi="仿宋_GB2312" w:cs="仿宋_GB2312" w:hint="eastAsia"/>
          <w:bCs/>
        </w:rPr>
        <w:t>破净或者</w:t>
      </w:r>
      <w:proofErr w:type="gramEnd"/>
      <w:r>
        <w:rPr>
          <w:rFonts w:ascii="仿宋_GB2312" w:hAnsi="仿宋_GB2312" w:cs="仿宋_GB2312" w:hint="eastAsia"/>
          <w:bCs/>
        </w:rPr>
        <w:t>分红不达标情形的，相关控股股东、实际控制人及其一致行动人不得进行询价转让，与控股股东、实际控制人通过集中竞价、大宗交易方式减持股份的主要限制保持一致，以防范监管套利，稳定市场预期。</w:t>
      </w:r>
    </w:p>
    <w:p w14:paraId="77C60610" w14:textId="77777777" w:rsidR="008E6506" w:rsidRDefault="001E4E81">
      <w:pPr>
        <w:adjustRightInd w:val="0"/>
        <w:snapToGrid w:val="0"/>
        <w:ind w:firstLine="643"/>
        <w:rPr>
          <w:rFonts w:ascii="仿宋_GB2312"/>
        </w:rPr>
      </w:pPr>
      <w:r>
        <w:rPr>
          <w:rFonts w:ascii="仿宋_GB2312" w:hint="eastAsia"/>
          <w:b/>
        </w:rPr>
        <w:lastRenderedPageBreak/>
        <w:t>二是防范绕道减持</w:t>
      </w:r>
      <w:r>
        <w:rPr>
          <w:rFonts w:ascii="仿宋_GB2312" w:hint="eastAsia"/>
        </w:rPr>
        <w:t>。落实《意见》关于防范利用“工具”绕道减持的规定，按照实质重于形式的原则加强监管，要求受让方通过询价</w:t>
      </w:r>
      <w:proofErr w:type="gramStart"/>
      <w:r>
        <w:rPr>
          <w:rFonts w:ascii="仿宋_GB2312" w:hint="eastAsia"/>
        </w:rPr>
        <w:t>转让受</w:t>
      </w:r>
      <w:proofErr w:type="gramEnd"/>
      <w:r>
        <w:rPr>
          <w:rFonts w:ascii="仿宋_GB2312" w:hint="eastAsia"/>
        </w:rPr>
        <w:t>让的股份在《指引》规定的限制转让期限内的，不得通过转融通出借该部分股份，不得融券卖出该上市公司的股份，受让方通过询价</w:t>
      </w:r>
      <w:proofErr w:type="gramStart"/>
      <w:r>
        <w:rPr>
          <w:rFonts w:ascii="仿宋_GB2312" w:hint="eastAsia"/>
        </w:rPr>
        <w:t>转让受</w:t>
      </w:r>
      <w:proofErr w:type="gramEnd"/>
      <w:r>
        <w:rPr>
          <w:rFonts w:ascii="仿宋_GB2312" w:hint="eastAsia"/>
        </w:rPr>
        <w:t>让股份前，存在尚未了结的该上市公司股份融券合约的，应当在获得相关股份前了结融券合约,增强制度的约束力。</w:t>
      </w:r>
    </w:p>
    <w:p w14:paraId="02E391FF" w14:textId="77777777" w:rsidR="008E6506" w:rsidRDefault="001E4E81">
      <w:pPr>
        <w:ind w:firstLine="643"/>
        <w:rPr>
          <w:rFonts w:ascii="仿宋_GB2312" w:hAnsi="仿宋_GB2312" w:cs="仿宋_GB2312"/>
          <w:bCs/>
        </w:rPr>
      </w:pPr>
      <w:r>
        <w:rPr>
          <w:rFonts w:ascii="仿宋_GB2312" w:hAnsi="仿宋_GB2312" w:cs="仿宋_GB2312" w:hint="eastAsia"/>
          <w:b/>
        </w:rPr>
        <w:t>三是优化交易过户流程。</w:t>
      </w:r>
      <w:r>
        <w:rPr>
          <w:rFonts w:ascii="仿宋_GB2312" w:hAnsi="仿宋_GB2312" w:cs="仿宋_GB2312" w:hint="eastAsia"/>
          <w:bCs/>
        </w:rPr>
        <w:t>完善股份过户异常的处置程序与信息披露要求，《指引》明确询价转让实施完毕前出现导致可转让股份数量不足的情形的（包括司法冻结等），证券公司应当在剔除相应股份后及时告知询价对象并重新确定转让结果等，参与转让的股东应当及时对外披露相关情况和重新确定的转让结果等。</w:t>
      </w:r>
    </w:p>
    <w:p w14:paraId="6F64929D" w14:textId="77777777" w:rsidR="008E6506" w:rsidRDefault="001E4E81">
      <w:pPr>
        <w:adjustRightInd w:val="0"/>
        <w:snapToGrid w:val="0"/>
        <w:ind w:firstLine="643"/>
        <w:rPr>
          <w:rFonts w:ascii="仿宋_GB2312" w:hAnsi="仿宋_GB2312" w:cs="仿宋_GB2312"/>
          <w:bCs/>
        </w:rPr>
      </w:pPr>
      <w:r>
        <w:rPr>
          <w:rFonts w:ascii="仿宋_GB2312" w:hAnsi="仿宋_GB2312" w:cs="仿宋_GB2312" w:hint="eastAsia"/>
          <w:b/>
        </w:rPr>
        <w:t>四是做好窗口期规定的衔接。</w:t>
      </w:r>
      <w:r>
        <w:rPr>
          <w:rFonts w:ascii="仿宋_GB2312" w:hAnsi="仿宋_GB2312" w:cs="仿宋_GB2312" w:hint="eastAsia"/>
          <w:bCs/>
        </w:rPr>
        <w:t>与</w:t>
      </w:r>
      <w:r>
        <w:rPr>
          <w:rFonts w:ascii="仿宋_GB2312" w:hAnsi="宋体" w:hint="eastAsia"/>
        </w:rPr>
        <w:t>中国证监会</w:t>
      </w:r>
      <w:r>
        <w:rPr>
          <w:rFonts w:ascii="仿宋_GB2312" w:hAnsi="仿宋_GB2312" w:cs="仿宋_GB2312" w:hint="eastAsia"/>
        </w:rPr>
        <w:t>《上市公司董事、监事和高级管理人员所持本公司股份及其变动管理规则》关于</w:t>
      </w:r>
      <w:proofErr w:type="gramStart"/>
      <w:r>
        <w:rPr>
          <w:rFonts w:ascii="仿宋_GB2312" w:hAnsi="仿宋_GB2312" w:cs="仿宋_GB2312" w:hint="eastAsia"/>
          <w:bCs/>
        </w:rPr>
        <w:t>董监高窗口</w:t>
      </w:r>
      <w:proofErr w:type="gramEnd"/>
      <w:r>
        <w:rPr>
          <w:rFonts w:ascii="仿宋_GB2312" w:hAnsi="仿宋_GB2312" w:cs="仿宋_GB2312" w:hint="eastAsia"/>
          <w:bCs/>
        </w:rPr>
        <w:t>期不得买卖股票的规定做好衔接安排，完善《指引》关于窗口期不得参与询价转让的有关规定。</w:t>
      </w:r>
    </w:p>
    <w:p w14:paraId="530A0BBD" w14:textId="01B7C5FF" w:rsidR="00540662" w:rsidRPr="00540662" w:rsidRDefault="00540662" w:rsidP="00540662">
      <w:pPr>
        <w:pStyle w:val="a0"/>
        <w:ind w:firstLine="640"/>
        <w:rPr>
          <w:lang w:eastAsia="zh-CN"/>
        </w:rPr>
      </w:pPr>
      <w:r>
        <w:rPr>
          <w:rFonts w:hint="eastAsia"/>
          <w:lang w:eastAsia="zh-CN"/>
        </w:rPr>
        <w:t>特此说明。</w:t>
      </w:r>
    </w:p>
    <w:sectPr w:rsidR="00540662" w:rsidRPr="00540662" w:rsidSect="008E650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E62B8" w14:textId="77777777" w:rsidR="00860265" w:rsidRDefault="00860265">
      <w:pPr>
        <w:spacing w:line="240" w:lineRule="auto"/>
        <w:ind w:firstLine="640"/>
      </w:pPr>
      <w:r>
        <w:separator/>
      </w:r>
    </w:p>
  </w:endnote>
  <w:endnote w:type="continuationSeparator" w:id="0">
    <w:p w14:paraId="3D2A8F3B" w14:textId="77777777" w:rsidR="00860265" w:rsidRDefault="0086026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E5519" w14:textId="77777777" w:rsidR="008E6506" w:rsidRDefault="008E650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742997244"/>
    </w:sdtPr>
    <w:sdtContent>
      <w:p w14:paraId="4E4CF2A2" w14:textId="77777777" w:rsidR="008E6506" w:rsidRDefault="008E6506">
        <w:pPr>
          <w:pStyle w:val="a7"/>
          <w:ind w:firstLine="480"/>
          <w:jc w:val="center"/>
          <w:rPr>
            <w:sz w:val="24"/>
            <w:szCs w:val="24"/>
          </w:rPr>
        </w:pPr>
        <w:r>
          <w:rPr>
            <w:sz w:val="24"/>
            <w:szCs w:val="24"/>
          </w:rPr>
          <w:fldChar w:fldCharType="begin"/>
        </w:r>
        <w:r w:rsidR="001E4E81">
          <w:rPr>
            <w:sz w:val="24"/>
            <w:szCs w:val="24"/>
          </w:rPr>
          <w:instrText>PAGE   \* MERGEFORMAT</w:instrText>
        </w:r>
        <w:r>
          <w:rPr>
            <w:sz w:val="24"/>
            <w:szCs w:val="24"/>
          </w:rPr>
          <w:fldChar w:fldCharType="separate"/>
        </w:r>
        <w:r w:rsidR="00CC6C9D" w:rsidRPr="00CC6C9D">
          <w:rPr>
            <w:noProof/>
            <w:sz w:val="24"/>
            <w:szCs w:val="24"/>
            <w:lang w:val="zh-CN"/>
          </w:rPr>
          <w:t>2</w:t>
        </w:r>
        <w:r>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A2485" w14:textId="77777777" w:rsidR="008E6506" w:rsidRDefault="008E6506">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D2A3C" w14:textId="77777777" w:rsidR="00860265" w:rsidRDefault="00860265">
      <w:pPr>
        <w:spacing w:line="240" w:lineRule="auto"/>
        <w:ind w:firstLine="640"/>
      </w:pPr>
      <w:r>
        <w:separator/>
      </w:r>
    </w:p>
  </w:footnote>
  <w:footnote w:type="continuationSeparator" w:id="0">
    <w:p w14:paraId="02C14461" w14:textId="77777777" w:rsidR="00860265" w:rsidRDefault="00860265">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260FE" w14:textId="77777777" w:rsidR="008E6506" w:rsidRDefault="008E6506">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E0CB9" w14:textId="77777777" w:rsidR="008E6506" w:rsidRDefault="008E6506">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886E8" w14:textId="77777777" w:rsidR="008E6506" w:rsidRDefault="008E6506">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2332"/>
    <w:rsid w:val="FF47A077"/>
    <w:rsid w:val="0001702D"/>
    <w:rsid w:val="000445C6"/>
    <w:rsid w:val="00050640"/>
    <w:rsid w:val="00061786"/>
    <w:rsid w:val="0007605C"/>
    <w:rsid w:val="000958C2"/>
    <w:rsid w:val="000F084A"/>
    <w:rsid w:val="00100C89"/>
    <w:rsid w:val="001141C6"/>
    <w:rsid w:val="00194B07"/>
    <w:rsid w:val="001A562D"/>
    <w:rsid w:val="001C1B55"/>
    <w:rsid w:val="001E4E81"/>
    <w:rsid w:val="001E6DFB"/>
    <w:rsid w:val="001E6EE4"/>
    <w:rsid w:val="002233F3"/>
    <w:rsid w:val="00243511"/>
    <w:rsid w:val="00265E98"/>
    <w:rsid w:val="00270A9E"/>
    <w:rsid w:val="002726CA"/>
    <w:rsid w:val="00276DD1"/>
    <w:rsid w:val="0028465D"/>
    <w:rsid w:val="002921D9"/>
    <w:rsid w:val="00293C25"/>
    <w:rsid w:val="002A11E9"/>
    <w:rsid w:val="002C4596"/>
    <w:rsid w:val="0033124B"/>
    <w:rsid w:val="00337B15"/>
    <w:rsid w:val="003420B1"/>
    <w:rsid w:val="00347A81"/>
    <w:rsid w:val="003846BC"/>
    <w:rsid w:val="00412332"/>
    <w:rsid w:val="004543A7"/>
    <w:rsid w:val="00461344"/>
    <w:rsid w:val="004A73FA"/>
    <w:rsid w:val="004B3C06"/>
    <w:rsid w:val="004D4335"/>
    <w:rsid w:val="004F7AE2"/>
    <w:rsid w:val="00500747"/>
    <w:rsid w:val="00513370"/>
    <w:rsid w:val="005310A2"/>
    <w:rsid w:val="005402B6"/>
    <w:rsid w:val="00540662"/>
    <w:rsid w:val="00551C4B"/>
    <w:rsid w:val="00567F51"/>
    <w:rsid w:val="00584CF8"/>
    <w:rsid w:val="005A2910"/>
    <w:rsid w:val="005C1FD8"/>
    <w:rsid w:val="0060004C"/>
    <w:rsid w:val="00654CFE"/>
    <w:rsid w:val="00681E0B"/>
    <w:rsid w:val="00692481"/>
    <w:rsid w:val="00696A4C"/>
    <w:rsid w:val="006A6C2E"/>
    <w:rsid w:val="006C3218"/>
    <w:rsid w:val="006F0FC6"/>
    <w:rsid w:val="006F3594"/>
    <w:rsid w:val="006F4F04"/>
    <w:rsid w:val="00737E61"/>
    <w:rsid w:val="00773D58"/>
    <w:rsid w:val="007858BE"/>
    <w:rsid w:val="00786D3B"/>
    <w:rsid w:val="007955F1"/>
    <w:rsid w:val="00797ADD"/>
    <w:rsid w:val="007A126E"/>
    <w:rsid w:val="007A74CA"/>
    <w:rsid w:val="007E693F"/>
    <w:rsid w:val="00801A88"/>
    <w:rsid w:val="00805839"/>
    <w:rsid w:val="008315FB"/>
    <w:rsid w:val="00835386"/>
    <w:rsid w:val="00836FFD"/>
    <w:rsid w:val="0084190E"/>
    <w:rsid w:val="0084630D"/>
    <w:rsid w:val="00860265"/>
    <w:rsid w:val="0087351D"/>
    <w:rsid w:val="008A50D5"/>
    <w:rsid w:val="008B513D"/>
    <w:rsid w:val="008D78AC"/>
    <w:rsid w:val="008E6506"/>
    <w:rsid w:val="008E6C8F"/>
    <w:rsid w:val="008F72E8"/>
    <w:rsid w:val="00907DE2"/>
    <w:rsid w:val="00910756"/>
    <w:rsid w:val="00941B96"/>
    <w:rsid w:val="00943D44"/>
    <w:rsid w:val="0096577D"/>
    <w:rsid w:val="0096738C"/>
    <w:rsid w:val="00972A76"/>
    <w:rsid w:val="0097723F"/>
    <w:rsid w:val="009B353F"/>
    <w:rsid w:val="009D6D56"/>
    <w:rsid w:val="009E0DEB"/>
    <w:rsid w:val="00A0167D"/>
    <w:rsid w:val="00A1155D"/>
    <w:rsid w:val="00A23D31"/>
    <w:rsid w:val="00A23F81"/>
    <w:rsid w:val="00A4387C"/>
    <w:rsid w:val="00A455FF"/>
    <w:rsid w:val="00A6335E"/>
    <w:rsid w:val="00A86D4C"/>
    <w:rsid w:val="00AA3471"/>
    <w:rsid w:val="00AE7E66"/>
    <w:rsid w:val="00AF1A05"/>
    <w:rsid w:val="00B03CF0"/>
    <w:rsid w:val="00B12C60"/>
    <w:rsid w:val="00B35E98"/>
    <w:rsid w:val="00B50B34"/>
    <w:rsid w:val="00B529C8"/>
    <w:rsid w:val="00B67F85"/>
    <w:rsid w:val="00B75567"/>
    <w:rsid w:val="00B86A92"/>
    <w:rsid w:val="00BA0952"/>
    <w:rsid w:val="00BD1D7D"/>
    <w:rsid w:val="00BF225F"/>
    <w:rsid w:val="00BF2713"/>
    <w:rsid w:val="00BF4EBE"/>
    <w:rsid w:val="00C22165"/>
    <w:rsid w:val="00C243A0"/>
    <w:rsid w:val="00C33F0F"/>
    <w:rsid w:val="00C45C70"/>
    <w:rsid w:val="00C463D4"/>
    <w:rsid w:val="00C53804"/>
    <w:rsid w:val="00C800C1"/>
    <w:rsid w:val="00C95BEF"/>
    <w:rsid w:val="00CB4F29"/>
    <w:rsid w:val="00CC6C9D"/>
    <w:rsid w:val="00D038CE"/>
    <w:rsid w:val="00D130D3"/>
    <w:rsid w:val="00D22685"/>
    <w:rsid w:val="00D31840"/>
    <w:rsid w:val="00D35588"/>
    <w:rsid w:val="00D42E51"/>
    <w:rsid w:val="00D46CE6"/>
    <w:rsid w:val="00D53018"/>
    <w:rsid w:val="00D55235"/>
    <w:rsid w:val="00D61AD8"/>
    <w:rsid w:val="00D71E9E"/>
    <w:rsid w:val="00D862A2"/>
    <w:rsid w:val="00D9487D"/>
    <w:rsid w:val="00DA052C"/>
    <w:rsid w:val="00E07D61"/>
    <w:rsid w:val="00E178FA"/>
    <w:rsid w:val="00E20857"/>
    <w:rsid w:val="00E30030"/>
    <w:rsid w:val="00E406A6"/>
    <w:rsid w:val="00E62793"/>
    <w:rsid w:val="00E730C1"/>
    <w:rsid w:val="00E7675D"/>
    <w:rsid w:val="00E91C18"/>
    <w:rsid w:val="00EA4348"/>
    <w:rsid w:val="00EB0E91"/>
    <w:rsid w:val="00EB5F9E"/>
    <w:rsid w:val="00EC7273"/>
    <w:rsid w:val="00EF197A"/>
    <w:rsid w:val="00EF2812"/>
    <w:rsid w:val="00F13A44"/>
    <w:rsid w:val="00F3216C"/>
    <w:rsid w:val="00F375E7"/>
    <w:rsid w:val="00F57882"/>
    <w:rsid w:val="00F662F3"/>
    <w:rsid w:val="00F803E1"/>
    <w:rsid w:val="00F84521"/>
    <w:rsid w:val="00F9377B"/>
    <w:rsid w:val="00FA3440"/>
    <w:rsid w:val="00FF34B5"/>
    <w:rsid w:val="03670C12"/>
    <w:rsid w:val="089159A7"/>
    <w:rsid w:val="0B747E53"/>
    <w:rsid w:val="0EBA29CD"/>
    <w:rsid w:val="15CF1166"/>
    <w:rsid w:val="17FE1B11"/>
    <w:rsid w:val="1D041987"/>
    <w:rsid w:val="222538F4"/>
    <w:rsid w:val="22BC378D"/>
    <w:rsid w:val="22DC42FD"/>
    <w:rsid w:val="2D574004"/>
    <w:rsid w:val="2F1C6E2B"/>
    <w:rsid w:val="3DEC62B6"/>
    <w:rsid w:val="48EF12FC"/>
    <w:rsid w:val="492B14F3"/>
    <w:rsid w:val="4943051E"/>
    <w:rsid w:val="532ED125"/>
    <w:rsid w:val="537D691B"/>
    <w:rsid w:val="5E5D57D8"/>
    <w:rsid w:val="5E754E80"/>
    <w:rsid w:val="69E03904"/>
    <w:rsid w:val="6C04278E"/>
    <w:rsid w:val="75B36C8F"/>
    <w:rsid w:val="77FF1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2BC3A"/>
  <w15:docId w15:val="{A767873A-FFA3-4024-BB70-E765598B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E6506"/>
    <w:pPr>
      <w:spacing w:line="560" w:lineRule="exact"/>
      <w:ind w:firstLineChars="200" w:firstLine="200"/>
      <w:jc w:val="both"/>
    </w:pPr>
    <w:rPr>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8E6506"/>
    <w:pPr>
      <w:spacing w:before="88"/>
      <w:ind w:left="120"/>
      <w:jc w:val="left"/>
    </w:pPr>
    <w:rPr>
      <w:rFonts w:ascii="仿宋_GB2312" w:hAnsi="仿宋_GB2312"/>
      <w:kern w:val="0"/>
      <w:lang w:eastAsia="en-US"/>
    </w:rPr>
  </w:style>
  <w:style w:type="paragraph" w:styleId="a4">
    <w:name w:val="annotation text"/>
    <w:basedOn w:val="a"/>
    <w:uiPriority w:val="99"/>
    <w:semiHidden/>
    <w:unhideWhenUsed/>
    <w:qFormat/>
    <w:rsid w:val="008E6506"/>
    <w:pPr>
      <w:jc w:val="left"/>
    </w:pPr>
  </w:style>
  <w:style w:type="paragraph" w:styleId="a5">
    <w:name w:val="Balloon Text"/>
    <w:basedOn w:val="a"/>
    <w:link w:val="a6"/>
    <w:uiPriority w:val="99"/>
    <w:semiHidden/>
    <w:unhideWhenUsed/>
    <w:qFormat/>
    <w:rsid w:val="008E6506"/>
    <w:pPr>
      <w:spacing w:line="240" w:lineRule="auto"/>
    </w:pPr>
    <w:rPr>
      <w:sz w:val="18"/>
      <w:szCs w:val="18"/>
    </w:rPr>
  </w:style>
  <w:style w:type="paragraph" w:styleId="a7">
    <w:name w:val="footer"/>
    <w:basedOn w:val="a"/>
    <w:link w:val="a8"/>
    <w:uiPriority w:val="99"/>
    <w:unhideWhenUsed/>
    <w:qFormat/>
    <w:rsid w:val="008E6506"/>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qFormat/>
    <w:rsid w:val="008E6506"/>
    <w:pPr>
      <w:tabs>
        <w:tab w:val="center" w:pos="4153"/>
        <w:tab w:val="right" w:pos="8306"/>
      </w:tabs>
      <w:snapToGrid w:val="0"/>
      <w:spacing w:line="240" w:lineRule="atLeast"/>
      <w:jc w:val="center"/>
    </w:pPr>
    <w:rPr>
      <w:sz w:val="18"/>
      <w:szCs w:val="18"/>
    </w:rPr>
  </w:style>
  <w:style w:type="character" w:customStyle="1" w:styleId="aa">
    <w:name w:val="页眉 字符"/>
    <w:basedOn w:val="a1"/>
    <w:link w:val="a9"/>
    <w:uiPriority w:val="99"/>
    <w:qFormat/>
    <w:rsid w:val="008E6506"/>
    <w:rPr>
      <w:sz w:val="18"/>
      <w:szCs w:val="18"/>
    </w:rPr>
  </w:style>
  <w:style w:type="character" w:customStyle="1" w:styleId="a8">
    <w:name w:val="页脚 字符"/>
    <w:basedOn w:val="a1"/>
    <w:link w:val="a7"/>
    <w:uiPriority w:val="99"/>
    <w:qFormat/>
    <w:rsid w:val="008E6506"/>
    <w:rPr>
      <w:sz w:val="18"/>
      <w:szCs w:val="18"/>
    </w:rPr>
  </w:style>
  <w:style w:type="paragraph" w:customStyle="1" w:styleId="1">
    <w:name w:val="修订1"/>
    <w:hidden/>
    <w:uiPriority w:val="99"/>
    <w:semiHidden/>
    <w:qFormat/>
    <w:rsid w:val="008E6506"/>
    <w:rPr>
      <w:kern w:val="2"/>
      <w:sz w:val="32"/>
      <w:szCs w:val="32"/>
    </w:rPr>
  </w:style>
  <w:style w:type="character" w:customStyle="1" w:styleId="a6">
    <w:name w:val="批注框文本 字符"/>
    <w:basedOn w:val="a1"/>
    <w:link w:val="a5"/>
    <w:uiPriority w:val="99"/>
    <w:semiHidden/>
    <w:qFormat/>
    <w:rsid w:val="008E6506"/>
    <w:rPr>
      <w:sz w:val="18"/>
      <w:szCs w:val="18"/>
    </w:rPr>
  </w:style>
  <w:style w:type="paragraph" w:styleId="ab">
    <w:name w:val="List Paragraph"/>
    <w:basedOn w:val="a"/>
    <w:uiPriority w:val="34"/>
    <w:qFormat/>
    <w:rsid w:val="008E6506"/>
    <w:pPr>
      <w:ind w:firstLine="420"/>
    </w:pPr>
  </w:style>
  <w:style w:type="paragraph" w:customStyle="1" w:styleId="2">
    <w:name w:val="修订2"/>
    <w:hidden/>
    <w:uiPriority w:val="99"/>
    <w:unhideWhenUsed/>
    <w:qFormat/>
    <w:rsid w:val="008E6506"/>
    <w:rPr>
      <w:kern w:val="2"/>
      <w:sz w:val="32"/>
      <w:szCs w:val="32"/>
    </w:rPr>
  </w:style>
  <w:style w:type="paragraph" w:customStyle="1" w:styleId="Style3">
    <w:name w:val="_Style 3"/>
    <w:basedOn w:val="a"/>
    <w:qFormat/>
    <w:rsid w:val="008E6506"/>
    <w:pPr>
      <w:widowControl w:val="0"/>
      <w:spacing w:line="240" w:lineRule="auto"/>
      <w:ind w:firstLine="420"/>
    </w:pPr>
    <w:rPr>
      <w:rFonts w:eastAsia="宋体"/>
      <w:sz w:val="21"/>
      <w:szCs w:val="22"/>
    </w:rPr>
  </w:style>
  <w:style w:type="character" w:customStyle="1" w:styleId="fontstyle01">
    <w:name w:val="fontstyle01"/>
    <w:basedOn w:val="a1"/>
    <w:qFormat/>
    <w:rsid w:val="008E6506"/>
    <w:rPr>
      <w:rFonts w:ascii="仿宋_GB2312" w:eastAsia="仿宋_GB2312" w:hint="eastAsia"/>
      <w:color w:val="000000"/>
      <w:sz w:val="30"/>
      <w:szCs w:val="30"/>
    </w:rPr>
  </w:style>
  <w:style w:type="paragraph" w:styleId="ac">
    <w:name w:val="Revision"/>
    <w:hidden/>
    <w:uiPriority w:val="99"/>
    <w:unhideWhenUsed/>
    <w:rsid w:val="00540662"/>
    <w:rPr>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865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133</Words>
  <Characters>761</Characters>
  <DocSecurity>0</DocSecurity>
  <Lines>6</Lines>
  <Paragraphs>1</Paragraphs>
  <ScaleCrop>false</ScaleCrop>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2024-04-21T02:43:00Z</dcterms:created>
  <dcterms:modified xsi:type="dcterms:W3CDTF">2024-05-24T07:33:00Z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1D6C2DF1D44A46578A699F7B780390BC</vt:lpwstr>
  </property>
</Properties>
</file>